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Montserrat" w:cs="Montserrat" w:eastAsia="Montserrat" w:hAnsi="Montserrat"/>
          <w:b w:val="1"/>
          <w:sz w:val="30"/>
          <w:szCs w:val="3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30"/>
          <w:szCs w:val="30"/>
          <w:rtl w:val="0"/>
        </w:rPr>
        <w:t xml:space="preserve">Electricals Recycling Fund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Risk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Log Template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Identify the main risks associated with this project, their likelihood and outline how these will be managed. 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Please be sure to identify any known or anticipated changes that could occur in the subsequent 5+ years that could prevent the collection service from continuing to run, such as planned infrastructure or contractor changes: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50"/>
        <w:gridCol w:w="2295"/>
        <w:gridCol w:w="2985"/>
        <w:gridCol w:w="5070"/>
        <w:tblGridChange w:id="0">
          <w:tblGrid>
            <w:gridCol w:w="3450"/>
            <w:gridCol w:w="2295"/>
            <w:gridCol w:w="2985"/>
            <w:gridCol w:w="50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rtl w:val="0"/>
              </w:rPr>
              <w:t xml:space="preserve">Risk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rtl w:val="0"/>
              </w:rPr>
              <w:t xml:space="preserve">Likelihood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rtl w:val="0"/>
              </w:rPr>
              <w:t xml:space="preserve">Impact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rtl w:val="0"/>
              </w:rPr>
              <w:t xml:space="preserve">Mitigation plan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3c47d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3c47d"/>
                <w:rtl w:val="0"/>
              </w:rPr>
              <w:t xml:space="preserve">E.g. Service overwhelmed at launch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3c47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3c47d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3c47d"/>
                <w:rtl w:val="0"/>
              </w:rPr>
              <w:t xml:space="preserve">Medium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3c47d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3c47d"/>
                <w:rtl w:val="0"/>
              </w:rPr>
              <w:t xml:space="preserve">High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3c47d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3c47d"/>
                <w:rtl w:val="0"/>
              </w:rPr>
              <w:t xml:space="preserve">Staggered approach to communications launch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804863" cy="71839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4863" cy="7183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aR4aGJLiB677MU4ZD168sBnoyA==">CgMxLjA4AHIhMTF5R25FRnlic2VyNWZ1b3FJZ19pRFFJc0x6Y1R6TE9U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